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DD8" w:rsidRDefault="001713FD" w:rsidP="00ED0DD8">
      <w:pPr>
        <w:pStyle w:val="Heading1"/>
        <w:spacing w:before="120" w:after="240"/>
        <w:jc w:val="center"/>
      </w:pPr>
      <w:r w:rsidRPr="00ED0DD8">
        <w:t>Appendix D</w:t>
      </w:r>
      <w:r w:rsidR="005817E3" w:rsidRPr="00ED0DD8">
        <w:t>-1</w:t>
      </w:r>
    </w:p>
    <w:p w:rsidR="00203EF5" w:rsidRPr="00ED0DD8" w:rsidRDefault="001713FD" w:rsidP="00ED0DD8">
      <w:pPr>
        <w:pStyle w:val="Heading1"/>
        <w:spacing w:before="120" w:after="240"/>
      </w:pPr>
      <w:r w:rsidRPr="00ED0DD8">
        <w:t>Details of the PSAMP Spatial/Temporal</w:t>
      </w:r>
      <w:r w:rsidR="00ED0DD8">
        <w:t xml:space="preserve"> </w:t>
      </w:r>
      <w:r w:rsidRPr="00ED0DD8">
        <w:t>Sediment Monitoring Element</w:t>
      </w:r>
      <w:r w:rsidR="00ED0DD8">
        <w:t xml:space="preserve">’s </w:t>
      </w:r>
      <w:r w:rsidR="006E09CD" w:rsidRPr="00ED0DD8">
        <w:t xml:space="preserve">Probabilistic Random Stratified </w:t>
      </w:r>
      <w:r w:rsidRPr="00ED0DD8">
        <w:t>Sampling Design</w:t>
      </w:r>
    </w:p>
    <w:p w:rsidR="00D06F12" w:rsidRPr="000F1FF7" w:rsidRDefault="00D06F12" w:rsidP="00ED0DD8">
      <w:pPr>
        <w:spacing w:before="120" w:after="240"/>
        <w:rPr>
          <w:rFonts w:ascii="Arial" w:hAnsi="Arial"/>
          <w:b/>
          <w:color w:val="800080"/>
          <w:sz w:val="32"/>
        </w:rPr>
      </w:pPr>
      <w:bookmarkStart w:id="0" w:name="1"/>
      <w:bookmarkEnd w:id="0"/>
      <w:r w:rsidRPr="000F1FF7">
        <w:rPr>
          <w:rFonts w:ascii="Arial" w:hAnsi="Arial"/>
          <w:b/>
          <w:color w:val="800080"/>
          <w:sz w:val="32"/>
        </w:rPr>
        <w:t>Probabilistic Survey Design</w:t>
      </w:r>
    </w:p>
    <w:p w:rsidR="00D06F12" w:rsidRPr="000F1FF7" w:rsidRDefault="00D06F12" w:rsidP="00ED0DD8">
      <w:pPr>
        <w:spacing w:before="120" w:after="240"/>
      </w:pPr>
      <w:r w:rsidRPr="000F1FF7">
        <w:t xml:space="preserve">With assistance from </w:t>
      </w:r>
      <w:hyperlink r:id="rId6" w:history="1">
        <w:r w:rsidRPr="000F1FF7">
          <w:t xml:space="preserve">EPA’s Aquatic Resources Monitoring Design and Analysis Team in Corvallis, Oregon, </w:t>
        </w:r>
      </w:hyperlink>
      <w:r w:rsidRPr="000F1FF7">
        <w:t>the probabilistic random, stratified sampling design was refined using a spatially-balanced, generalized random tessellation stratified (GRTS) multi-density survey design, as described by Stevens (1997), and Stevens and Olsen (1999, 200</w:t>
      </w:r>
      <w:r w:rsidR="00E96246">
        <w:t>3, 2004</w:t>
      </w:r>
      <w:r w:rsidRPr="000F1FF7">
        <w:t>). The GRTS design incorporates a hierarchical randomization process to ensure the sample is spatially-balanced across the PSAMP study region. It also allows sites to be selected with unequal probability to satisfy the sample size requirements by basin and category.</w:t>
      </w:r>
    </w:p>
    <w:p w:rsidR="001713FD" w:rsidRPr="00E07960" w:rsidRDefault="00E07960" w:rsidP="00ED0DD8">
      <w:pPr>
        <w:widowControl w:val="0"/>
        <w:spacing w:before="120" w:after="240"/>
        <w:rPr>
          <w:rFonts w:ascii="Arial" w:hAnsi="Arial"/>
          <w:b/>
          <w:color w:val="800080"/>
          <w:sz w:val="32"/>
        </w:rPr>
      </w:pPr>
      <w:r w:rsidRPr="00E07960">
        <w:rPr>
          <w:rFonts w:ascii="Arial" w:hAnsi="Arial"/>
          <w:b/>
          <w:color w:val="800080"/>
          <w:sz w:val="32"/>
        </w:rPr>
        <w:t xml:space="preserve">Sampling </w:t>
      </w:r>
      <w:r w:rsidR="001713FD" w:rsidRPr="00E07960">
        <w:rPr>
          <w:rFonts w:ascii="Arial" w:hAnsi="Arial"/>
          <w:b/>
          <w:color w:val="800080"/>
          <w:sz w:val="32"/>
        </w:rPr>
        <w:t xml:space="preserve">Population </w:t>
      </w:r>
      <w:r w:rsidRPr="00E07960">
        <w:rPr>
          <w:rFonts w:ascii="Arial" w:hAnsi="Arial"/>
          <w:b/>
          <w:color w:val="800080"/>
          <w:sz w:val="32"/>
        </w:rPr>
        <w:t>Boundaries</w:t>
      </w:r>
    </w:p>
    <w:p w:rsidR="001713FD" w:rsidRDefault="001713FD" w:rsidP="00ED0DD8">
      <w:pPr>
        <w:widowControl w:val="0"/>
        <w:spacing w:before="120" w:after="240"/>
      </w:pPr>
      <w:r>
        <w:t>The population, regional subpopulation, and geophysical/anthropogenic-use "strata" subpopulation boundaries are delineated in a GIS file produced by the Marine Sediment Monitoring Team.  The GIS file was used by the U.S. EPA Environmental Monitoring and Assessment Program Design Team (</w:t>
      </w:r>
      <w:smartTag w:uri="urn:schemas-microsoft-com:office:smarttags" w:element="place">
        <w:smartTag w:uri="urn:schemas-microsoft-com:office:smarttags" w:element="City">
          <w:r>
            <w:t>Corvallis</w:t>
          </w:r>
        </w:smartTag>
        <w:r>
          <w:t xml:space="preserve">, </w:t>
        </w:r>
        <w:smartTag w:uri="urn:schemas-microsoft-com:office:smarttags" w:element="State">
          <w:r>
            <w:t>Oregon</w:t>
          </w:r>
        </w:smartTag>
      </w:smartTag>
      <w:r>
        <w:t>) to generate two sets of randomly selected sample sites, one for monitoring geographic regions on a rotating basis</w:t>
      </w:r>
      <w:r>
        <w:rPr>
          <w:szCs w:val="24"/>
        </w:rPr>
        <w:t xml:space="preserve"> and one for performing focused studies on selected embayments</w:t>
      </w:r>
      <w:r>
        <w:t>.</w:t>
      </w:r>
      <w:r w:rsidRPr="003212C6">
        <w:t xml:space="preserve">  </w:t>
      </w:r>
      <w:r>
        <w:t>The defined area was oversampled to provide replacement samples in the event that original target samples could not be taken (</w:t>
      </w:r>
      <w:r>
        <w:rPr>
          <w:i/>
        </w:rPr>
        <w:t>e.g.</w:t>
      </w:r>
      <w:r>
        <w:t xml:space="preserve">, if the selected site were in less than </w:t>
      </w:r>
      <w:r w:rsidR="00554302">
        <w:t>2</w:t>
      </w:r>
      <w:r>
        <w:t xml:space="preserve"> m of water or if the substrate were unsampleable) and to provide samples for revisiting the regions every 10 years.</w:t>
      </w:r>
    </w:p>
    <w:p w:rsidR="001713FD" w:rsidRPr="00DB1FC6" w:rsidRDefault="001713FD" w:rsidP="00ED0DD8">
      <w:pPr>
        <w:widowControl w:val="0"/>
        <w:spacing w:before="120" w:after="240"/>
        <w:rPr>
          <w:noProof/>
        </w:rPr>
      </w:pPr>
      <w:r>
        <w:rPr>
          <w:noProof/>
        </w:rPr>
        <w:t xml:space="preserve">The population has been defined as the subtidal surficial sediments in areas where the water depth is at least </w:t>
      </w:r>
      <w:r w:rsidR="00E232B8">
        <w:rPr>
          <w:noProof/>
        </w:rPr>
        <w:t>1 fathom (~</w:t>
      </w:r>
      <w:r>
        <w:rPr>
          <w:noProof/>
        </w:rPr>
        <w:t>2 m</w:t>
      </w:r>
      <w:r w:rsidR="00E232B8">
        <w:rPr>
          <w:noProof/>
        </w:rPr>
        <w:t>)</w:t>
      </w:r>
      <w:r>
        <w:rPr>
          <w:noProof/>
        </w:rPr>
        <w:t xml:space="preserve">, due to the physical requirements of needing enough water to sample from a boat.  In addition, the central, current-swept portion of Admiralty Inlet </w:t>
      </w:r>
      <w:r w:rsidR="00895D7D">
        <w:rPr>
          <w:noProof/>
        </w:rPr>
        <w:t xml:space="preserve">and other narrow reaches of Puget Sound are </w:t>
      </w:r>
      <w:r>
        <w:rPr>
          <w:noProof/>
        </w:rPr>
        <w:t xml:space="preserve">not included in the population, nor are the open waters in the Strait of Juan de Fuca, the Strait of Georgia, and the San Juan Archipelago. </w:t>
      </w:r>
      <w:r w:rsidRPr="005C2B93">
        <w:rPr>
          <w:noProof/>
        </w:rPr>
        <w:t xml:space="preserve"> </w:t>
      </w:r>
      <w:r w:rsidRPr="00B811B9">
        <w:rPr>
          <w:noProof/>
        </w:rPr>
        <w:t xml:space="preserve">The </w:t>
      </w:r>
      <w:r>
        <w:t xml:space="preserve">population, </w:t>
      </w:r>
      <w:r w:rsidR="00554302">
        <w:t xml:space="preserve">including 8 </w:t>
      </w:r>
      <w:r>
        <w:t xml:space="preserve">regional subpopulations and </w:t>
      </w:r>
      <w:r w:rsidR="00554302">
        <w:t xml:space="preserve">5 </w:t>
      </w:r>
      <w:r>
        <w:t>stratum subpopulations</w:t>
      </w:r>
      <w:r w:rsidR="00554302">
        <w:t>,</w:t>
      </w:r>
      <w:r w:rsidRPr="00B811B9">
        <w:rPr>
          <w:noProof/>
        </w:rPr>
        <w:t xml:space="preserve"> </w:t>
      </w:r>
      <w:r>
        <w:rPr>
          <w:noProof/>
        </w:rPr>
        <w:t xml:space="preserve">are </w:t>
      </w:r>
      <w:r w:rsidRPr="00DB1FC6">
        <w:rPr>
          <w:noProof/>
        </w:rPr>
        <w:t>displayed in Figures 1, 3, and 4 of the report.</w:t>
      </w:r>
    </w:p>
    <w:p w:rsidR="004A55E9" w:rsidRPr="00E07960" w:rsidRDefault="004A55E9" w:rsidP="00ED0DD8">
      <w:pPr>
        <w:widowControl w:val="0"/>
        <w:spacing w:before="120" w:after="240"/>
        <w:rPr>
          <w:rFonts w:ascii="Arial" w:hAnsi="Arial"/>
          <w:b/>
          <w:color w:val="800080"/>
          <w:sz w:val="32"/>
        </w:rPr>
      </w:pPr>
      <w:r w:rsidRPr="00E07960">
        <w:rPr>
          <w:rFonts w:ascii="Arial" w:hAnsi="Arial"/>
          <w:b/>
          <w:color w:val="800080"/>
          <w:sz w:val="32"/>
        </w:rPr>
        <w:t xml:space="preserve">Sample Allocations </w:t>
      </w:r>
      <w:r w:rsidR="00F3702D" w:rsidRPr="00E07960">
        <w:rPr>
          <w:rFonts w:ascii="Arial" w:hAnsi="Arial"/>
          <w:b/>
          <w:color w:val="800080"/>
          <w:sz w:val="32"/>
        </w:rPr>
        <w:t>among</w:t>
      </w:r>
      <w:r w:rsidRPr="00E07960">
        <w:rPr>
          <w:rFonts w:ascii="Arial" w:hAnsi="Arial"/>
          <w:b/>
          <w:color w:val="800080"/>
          <w:sz w:val="32"/>
        </w:rPr>
        <w:t xml:space="preserve"> </w:t>
      </w:r>
      <w:r w:rsidR="00E07960" w:rsidRPr="00E07960">
        <w:rPr>
          <w:rFonts w:ascii="Arial" w:hAnsi="Arial"/>
          <w:b/>
          <w:color w:val="800080"/>
          <w:sz w:val="32"/>
        </w:rPr>
        <w:t>Populations</w:t>
      </w:r>
    </w:p>
    <w:p w:rsidR="001713FD" w:rsidRDefault="001713FD" w:rsidP="00ED0DD8">
      <w:pPr>
        <w:widowControl w:val="0"/>
        <w:spacing w:before="120" w:after="240"/>
      </w:pPr>
      <w:r>
        <w:t xml:space="preserve">The 26 combinations of region and stratum </w:t>
      </w:r>
      <w:r w:rsidR="00554302">
        <w:t xml:space="preserve">subpopulations </w:t>
      </w:r>
      <w:r w:rsidR="00BE2D34">
        <w:t>constitute</w:t>
      </w:r>
      <w:r>
        <w:t xml:space="preserve"> multi-density categories.  Sample sizes are selected proportionally to the area in each category</w:t>
      </w:r>
      <w:r w:rsidR="00C81F17">
        <w:t xml:space="preserve">, adjusted </w:t>
      </w:r>
      <w:r>
        <w:t xml:space="preserve">to achieve sufficient statistical power to answer the questions of </w:t>
      </w:r>
      <w:r w:rsidRPr="00DB1FC6">
        <w:t>interest</w:t>
      </w:r>
      <w:r w:rsidR="00C81F17" w:rsidRPr="00DB1FC6">
        <w:t xml:space="preserve"> (Appendix D, Table </w:t>
      </w:r>
      <w:r w:rsidR="00554302">
        <w:t>D-</w:t>
      </w:r>
      <w:r w:rsidR="00C81F17" w:rsidRPr="00DB1FC6">
        <w:t>1</w:t>
      </w:r>
      <w:r w:rsidR="00C72E61" w:rsidRPr="00DB1FC6">
        <w:t xml:space="preserve"> – based on a sample size of 40 stations/region</w:t>
      </w:r>
      <w:r w:rsidR="00C81F17" w:rsidRPr="00DB1FC6">
        <w:t>)</w:t>
      </w:r>
      <w:r w:rsidRPr="00DB1FC6">
        <w:t>.  For example, alt</w:t>
      </w:r>
      <w:r>
        <w:t xml:space="preserve">hough the area of the San Juan Archipelago region is much smaller than 10% of the rest of </w:t>
      </w:r>
      <w:smartTag w:uri="urn:schemas-microsoft-com:office:smarttags" w:element="place">
        <w:r>
          <w:t>Puget Sound</w:t>
        </w:r>
      </w:smartTag>
      <w:r>
        <w:t xml:space="preserve">, it is </w:t>
      </w:r>
      <w:r w:rsidR="007D1A49">
        <w:t xml:space="preserve">nevertheless </w:t>
      </w:r>
      <w:r>
        <w:t>important to have a minimum of 30 samples taken from that region in order to be able to form reasonable and defensible estimates of the contaminant concentrations and the extent of toxicity there.</w:t>
      </w:r>
    </w:p>
    <w:p w:rsidR="00E07960" w:rsidRPr="00E07960" w:rsidRDefault="00E07960" w:rsidP="00ED0DD8">
      <w:pPr>
        <w:widowControl w:val="0"/>
        <w:spacing w:before="120" w:after="240"/>
        <w:rPr>
          <w:rFonts w:ascii="Arial" w:hAnsi="Arial"/>
          <w:b/>
          <w:color w:val="800080"/>
          <w:sz w:val="32"/>
        </w:rPr>
      </w:pPr>
      <w:r w:rsidRPr="00E07960">
        <w:rPr>
          <w:rFonts w:ascii="Arial" w:hAnsi="Arial"/>
          <w:b/>
          <w:color w:val="800080"/>
          <w:sz w:val="32"/>
        </w:rPr>
        <w:lastRenderedPageBreak/>
        <w:t>Sampling Time Frame</w:t>
      </w:r>
    </w:p>
    <w:p w:rsidR="001713FD" w:rsidRDefault="001713FD" w:rsidP="00ED0DD8">
      <w:pPr>
        <w:widowControl w:val="0"/>
        <w:spacing w:before="120" w:after="240"/>
      </w:pPr>
      <w:r>
        <w:rPr>
          <w:noProof/>
        </w:rPr>
        <w:t>The time frame for the revised PSAMP Sediment Component involves completion of a baseline for the entire Sound (completed in 2003)</w:t>
      </w:r>
      <w:r>
        <w:t xml:space="preserve">, followed by rotation through the eight monitoring regions over ten years, including one year of a focus/special project study on embayments of particular interest to client </w:t>
      </w:r>
      <w:r w:rsidRPr="00DB1FC6">
        <w:t>organizations and (Table 6</w:t>
      </w:r>
      <w:r w:rsidR="00C81F17" w:rsidRPr="00DB1FC6">
        <w:t xml:space="preserve"> of the report</w:t>
      </w:r>
      <w:r w:rsidRPr="00DB1FC6">
        <w:t xml:space="preserve">).  </w:t>
      </w:r>
      <w:r w:rsidRPr="00DB1FC6">
        <w:rPr>
          <w:noProof/>
        </w:rPr>
        <w:t xml:space="preserve">The baseline will combine the 2002 and 2003 sampling in the regions of </w:t>
      </w:r>
      <w:r w:rsidRPr="00DB1FC6">
        <w:t>Admiralty Inlet, the San Juan Archipelago</w:t>
      </w:r>
      <w:r>
        <w:t xml:space="preserve">, and the eastern portion of the </w:t>
      </w:r>
      <w:smartTag w:uri="urn:schemas-microsoft-com:office:smarttags" w:element="place">
        <w:r>
          <w:t>Strait of Juan de Fuca</w:t>
        </w:r>
      </w:smartTag>
      <w:r>
        <w:t xml:space="preserve"> with the 1997-1999 PSAMP/NOAA sampling throughout the main body of </w:t>
      </w:r>
      <w:smartTag w:uri="urn:schemas-microsoft-com:office:smarttags" w:element="place">
        <w:r>
          <w:t>Puget Sound</w:t>
        </w:r>
      </w:smartTag>
      <w:r>
        <w:t>.</w:t>
      </w:r>
    </w:p>
    <w:p w:rsidR="001713FD" w:rsidRDefault="001713FD" w:rsidP="00ED0DD8">
      <w:pPr>
        <w:widowControl w:val="0"/>
        <w:spacing w:before="120" w:after="240"/>
      </w:pPr>
      <w:r w:rsidRPr="00514C0B">
        <w:rPr>
          <w:szCs w:val="24"/>
        </w:rPr>
        <w:t>A total of approximately 40 samples will be collected during each year, the final number being dependent upon</w:t>
      </w:r>
      <w:r>
        <w:rPr>
          <w:szCs w:val="24"/>
        </w:rPr>
        <w:t xml:space="preserve"> the objectives to be met in that particular portion of the study and upon</w:t>
      </w:r>
      <w:r w:rsidRPr="00514C0B">
        <w:rPr>
          <w:szCs w:val="24"/>
        </w:rPr>
        <w:t xml:space="preserve"> the final negotiated costs of the sample analyses</w:t>
      </w:r>
      <w:r>
        <w:rPr>
          <w:szCs w:val="24"/>
        </w:rPr>
        <w:t xml:space="preserve"> and other budgetary constraints.  </w:t>
      </w:r>
      <w:r w:rsidRPr="00AB23D3">
        <w:rPr>
          <w:szCs w:val="24"/>
        </w:rPr>
        <w:t xml:space="preserve">For 2003, for example, the objective was to complete the baseline, so that each region will have a minimum of 30 samples on which to estimate population parameters; this objective </w:t>
      </w:r>
      <w:r w:rsidR="00AB23D3">
        <w:rPr>
          <w:szCs w:val="24"/>
        </w:rPr>
        <w:t>was</w:t>
      </w:r>
      <w:r w:rsidRPr="00AB23D3">
        <w:rPr>
          <w:szCs w:val="24"/>
        </w:rPr>
        <w:t xml:space="preserve"> achieved with a total of 41 samples taken in the </w:t>
      </w:r>
      <w:r w:rsidRPr="00AB23D3">
        <w:t xml:space="preserve">San Juan Archipelago, Eastern Strait of Juan de Fuca, and Admiralty Inlet regions.  </w:t>
      </w:r>
      <w:r>
        <w:t>In subsequent years, the plan is to rotate among the regions and to perform focused embayment studies, so that over the course of a decade it will be possible to perform temporal comparisons for each region and for the entire Sound, as well as to complete spatial estimates for the geophysical/anthropogenic-use strata (</w:t>
      </w:r>
      <w:r w:rsidRPr="00AB23D3">
        <w:t>Table 6</w:t>
      </w:r>
      <w:r w:rsidR="00AB23D3" w:rsidRPr="00AB23D3">
        <w:t xml:space="preserve"> of the report</w:t>
      </w:r>
      <w:r>
        <w:t>).</w:t>
      </w:r>
    </w:p>
    <w:p w:rsidR="001713FD" w:rsidRPr="00E07960" w:rsidRDefault="001713FD" w:rsidP="00ED0DD8">
      <w:pPr>
        <w:widowControl w:val="0"/>
        <w:spacing w:before="120" w:after="240"/>
        <w:rPr>
          <w:rFonts w:ascii="Arial" w:hAnsi="Arial"/>
          <w:b/>
          <w:color w:val="800080"/>
          <w:sz w:val="32"/>
        </w:rPr>
      </w:pPr>
      <w:bookmarkStart w:id="1" w:name="_Toc28002158"/>
      <w:bookmarkStart w:id="2" w:name="_Toc28002695"/>
      <w:bookmarkStart w:id="3" w:name="_Toc28004038"/>
      <w:r w:rsidRPr="00E07960">
        <w:rPr>
          <w:rFonts w:ascii="Arial" w:hAnsi="Arial"/>
          <w:b/>
          <w:color w:val="800080"/>
          <w:sz w:val="32"/>
        </w:rPr>
        <w:t>Generalized Random Tessellation Stratified Design</w:t>
      </w:r>
      <w:bookmarkEnd w:id="1"/>
      <w:bookmarkEnd w:id="2"/>
      <w:bookmarkEnd w:id="3"/>
    </w:p>
    <w:p w:rsidR="00E07960" w:rsidRDefault="00E07960" w:rsidP="00ED0DD8">
      <w:pPr>
        <w:widowControl w:val="0"/>
        <w:spacing w:before="120" w:after="240"/>
      </w:pPr>
      <w:r>
        <w:t>Since the smallest potential study area is 0.06 km</w:t>
      </w:r>
      <w:r w:rsidRPr="00C66751">
        <w:rPr>
          <w:szCs w:val="24"/>
          <w:vertAlign w:val="superscript"/>
        </w:rPr>
        <w:t>2</w:t>
      </w:r>
      <w:r>
        <w:rPr>
          <w:szCs w:val="24"/>
        </w:rPr>
        <w:t xml:space="preserve">, a grid density of </w:t>
      </w:r>
      <w:r>
        <w:t>20 sites per 0.06 km</w:t>
      </w:r>
      <w:r w:rsidRPr="00C66751">
        <w:rPr>
          <w:szCs w:val="24"/>
          <w:vertAlign w:val="superscript"/>
        </w:rPr>
        <w:t>2</w:t>
      </w:r>
      <w:r>
        <w:rPr>
          <w:szCs w:val="24"/>
        </w:rPr>
        <w:t xml:space="preserve"> was used.  The first set of sample sites was generated using </w:t>
      </w:r>
      <w:r>
        <w:t>a spatially balanced, unequal-probability Generalized Random Tessellation Stratified (GRTS) multi-density survey design (Stevens, 1997; Stevens and Olsen, 1999, 200</w:t>
      </w:r>
      <w:r w:rsidR="00E96246">
        <w:t>3, 2004</w:t>
      </w:r>
      <w:r>
        <w:t xml:space="preserve">), weighting the sites according to the amount of area in each region/stratum multi-density category.  </w:t>
      </w:r>
      <w:r>
        <w:rPr>
          <w:szCs w:val="24"/>
        </w:rPr>
        <w:t xml:space="preserve">The second set of sample sites was generated independently of the first, using </w:t>
      </w:r>
      <w:r>
        <w:t>a spatially balanced, equal-probability GRTS design.  The steps in the survey designs are described below.</w:t>
      </w:r>
    </w:p>
    <w:p w:rsidR="001713FD" w:rsidRDefault="001713FD" w:rsidP="00ED0DD8">
      <w:pPr>
        <w:widowControl w:val="0"/>
        <w:spacing w:before="120" w:after="240"/>
      </w:pPr>
      <w:r>
        <w:t>The general steps in generating a spatially balanced GRTS design are:</w:t>
      </w:r>
    </w:p>
    <w:p w:rsidR="001713FD" w:rsidRDefault="001713FD" w:rsidP="00ED0DD8">
      <w:pPr>
        <w:widowControl w:val="0"/>
        <w:spacing w:before="120" w:after="240"/>
      </w:pPr>
      <w:r>
        <w:t>1) Define the population and subpopulations of interest, and determine the corresponding areas.</w:t>
      </w:r>
    </w:p>
    <w:p w:rsidR="001713FD" w:rsidRDefault="001713FD" w:rsidP="00ED0DD8">
      <w:pPr>
        <w:widowControl w:val="0"/>
        <w:spacing w:before="120" w:after="240"/>
      </w:pPr>
      <w:r>
        <w:t xml:space="preserve">2) Specify the level of sampling intensity </w:t>
      </w:r>
      <w:r w:rsidRPr="00AB23D3">
        <w:t>(i.e., total</w:t>
      </w:r>
      <w:r>
        <w:t xml:space="preserve"> sample size) required to achieve spatial and temporal estimates and comparisons.</w:t>
      </w:r>
    </w:p>
    <w:p w:rsidR="001713FD" w:rsidRDefault="001713FD" w:rsidP="00ED0DD8">
      <w:pPr>
        <w:widowControl w:val="0"/>
        <w:spacing w:before="120" w:after="240"/>
      </w:pPr>
      <w:r>
        <w:t>3) Using a random starting point, create a grid of cells fine enough to ensure the desired sampling intensity, including oversampling.</w:t>
      </w:r>
    </w:p>
    <w:p w:rsidR="001713FD" w:rsidRDefault="001713FD" w:rsidP="00ED0DD8">
      <w:pPr>
        <w:widowControl w:val="0"/>
        <w:spacing w:before="120" w:after="240"/>
      </w:pPr>
      <w:r>
        <w:t>4) Associate cells with multi-density categories and assign an inclusion probability for each cell.  The inclusion probabilities may be unequal, reflecting the need to sample different multi-density categories at different intensities.</w:t>
      </w:r>
    </w:p>
    <w:p w:rsidR="001713FD" w:rsidRDefault="001713FD" w:rsidP="00ED0DD8">
      <w:pPr>
        <w:widowControl w:val="0"/>
        <w:spacing w:before="120" w:after="240"/>
      </w:pPr>
      <w:r>
        <w:t>5) Select cells in random order according a reverse-hierarchical algorithm (Stevens and Olsen, 1999).</w:t>
      </w:r>
    </w:p>
    <w:p w:rsidR="001713FD" w:rsidRDefault="001713FD" w:rsidP="00ED0DD8">
      <w:pPr>
        <w:widowControl w:val="0"/>
        <w:spacing w:before="120" w:after="240"/>
      </w:pPr>
      <w:r>
        <w:lastRenderedPageBreak/>
        <w:t>6) Within each cell, randomly select the specific point (location) to be sampled.</w:t>
      </w:r>
    </w:p>
    <w:p w:rsidR="001713FD" w:rsidRPr="00FE7708" w:rsidRDefault="001713FD" w:rsidP="00ED0DD8">
      <w:pPr>
        <w:widowControl w:val="0"/>
        <w:spacing w:before="120" w:after="240"/>
        <w:rPr>
          <w:b/>
        </w:rPr>
      </w:pPr>
      <w:r>
        <w:t>Oversampling</w:t>
      </w:r>
      <w:r w:rsidRPr="00AB23D3">
        <w:t>, i.e., generating</w:t>
      </w:r>
      <w:r>
        <w:t xml:space="preserve"> a multiple of the number of samples needed per multi-density category, serves to provide additional sample sites for replacement of rejected (unsampleable) sample sites and for resampling the population or subpopulations on a rotational basis, while ensuring that no particular sample site is chosen more than once.  The reverse-hierarchical algorithm results in sample designs which are more spatially balanced than simple random sampling (Stevens and Olsen, 1999).</w:t>
      </w:r>
    </w:p>
    <w:p w:rsidR="001713FD" w:rsidRDefault="001713FD" w:rsidP="00ED0DD8">
      <w:pPr>
        <w:pStyle w:val="Heading3"/>
        <w:keepNext w:val="0"/>
        <w:widowControl w:val="0"/>
        <w:spacing w:before="120" w:after="240"/>
      </w:pPr>
      <w:bookmarkStart w:id="4" w:name="_Toc28002159"/>
      <w:bookmarkStart w:id="5" w:name="_Toc28002696"/>
      <w:bookmarkStart w:id="6" w:name="_Toc28004039"/>
      <w:r>
        <w:t>Replicates</w:t>
      </w:r>
      <w:bookmarkEnd w:id="4"/>
      <w:bookmarkEnd w:id="5"/>
      <w:bookmarkEnd w:id="6"/>
    </w:p>
    <w:p w:rsidR="001713FD" w:rsidRDefault="001713FD" w:rsidP="00ED0DD8">
      <w:pPr>
        <w:widowControl w:val="0"/>
        <w:spacing w:before="120" w:after="240"/>
      </w:pPr>
      <w:r>
        <w:t>The intent of the experimental design is to provide estimates of spatial extent of contamination and toxicity for large areas, rather than characterization of individual sample sites as was the case in the original PSAMP design.  Each sample in the new design, therefore, constitutes one of 30 or more replicates taken for estimation of parameters for the population, regional subpopulation, or stratum subpopulation of interest.</w:t>
      </w:r>
    </w:p>
    <w:p w:rsidR="001713FD" w:rsidRDefault="001713FD" w:rsidP="00ED0DD8">
      <w:pPr>
        <w:pStyle w:val="Heading3"/>
        <w:keepNext w:val="0"/>
        <w:widowControl w:val="0"/>
        <w:spacing w:before="120" w:after="240"/>
      </w:pPr>
      <w:bookmarkStart w:id="7" w:name="_Toc415289705"/>
      <w:bookmarkStart w:id="8" w:name="_Toc28002160"/>
      <w:bookmarkStart w:id="9" w:name="_Toc28002697"/>
      <w:bookmarkStart w:id="10" w:name="_Toc28004040"/>
      <w:r>
        <w:t>Representativeness</w:t>
      </w:r>
      <w:bookmarkEnd w:id="7"/>
      <w:bookmarkEnd w:id="8"/>
      <w:bookmarkEnd w:id="9"/>
      <w:bookmarkEnd w:id="10"/>
    </w:p>
    <w:p w:rsidR="001713FD" w:rsidRPr="00C02AB4" w:rsidRDefault="001713FD" w:rsidP="00ED0DD8">
      <w:pPr>
        <w:widowControl w:val="0"/>
        <w:spacing w:before="120" w:after="240"/>
      </w:pPr>
      <w:r>
        <w:t xml:space="preserve">The GRTS design was used to gain representative spatial distribution of stations in the eight geographical regions and five geophysical/ anthropogenic-use strata.  Spatial representativeness is achieved by selection of sample sites according to inclusion probabilities which take into account the amount of area in the region/stratum multi-density categories.  </w:t>
      </w:r>
      <w:r w:rsidRPr="00C02AB4">
        <w:t>Sample-site density is more uniform under the GRTS design than under equal-probability independent simple random samp</w:t>
      </w:r>
      <w:r>
        <w:t>ling (Stevens and Olsen, 1999).</w:t>
      </w:r>
    </w:p>
    <w:p w:rsidR="001713FD" w:rsidRDefault="001713FD" w:rsidP="00ED0DD8">
      <w:pPr>
        <w:pStyle w:val="Heading3"/>
        <w:keepNext w:val="0"/>
        <w:widowControl w:val="0"/>
        <w:spacing w:before="120" w:after="240"/>
      </w:pPr>
      <w:bookmarkStart w:id="11" w:name="_Toc415289706"/>
      <w:bookmarkStart w:id="12" w:name="_Toc28002161"/>
      <w:bookmarkStart w:id="13" w:name="_Toc28002698"/>
      <w:bookmarkStart w:id="14" w:name="_Toc28004041"/>
      <w:r>
        <w:t>Completeness</w:t>
      </w:r>
      <w:bookmarkEnd w:id="11"/>
      <w:bookmarkEnd w:id="12"/>
      <w:bookmarkEnd w:id="13"/>
      <w:bookmarkEnd w:id="14"/>
    </w:p>
    <w:p w:rsidR="001713FD" w:rsidRDefault="001713FD" w:rsidP="00ED0DD8">
      <w:pPr>
        <w:widowControl w:val="0"/>
        <w:spacing w:before="120" w:after="240"/>
      </w:pPr>
      <w:r>
        <w:t>Since oversampling was used in the selection of sample sites, sufficient numbers of potential sampling locations were generated to provide replacement sample sites when original target sites cannot be sampled in any given sampling expedition.  In the event that it is necessary to use alternate sample sites, the weights of the sample sites are adjusted for the CDF analyses.  For example, if three sites of 40 must be replaced during the course of one season's field sampling, the actual sample size used is 43, not 40; and the amount of area that each sample point represents must be scaled accordingly.</w:t>
      </w:r>
    </w:p>
    <w:p w:rsidR="001713FD" w:rsidRDefault="001713FD" w:rsidP="00ED0DD8">
      <w:pPr>
        <w:widowControl w:val="0"/>
        <w:spacing w:before="120" w:after="240"/>
      </w:pPr>
      <w:r>
        <w:t xml:space="preserve">The PSAMP-NOAA study employed a probabilistic stratified random sampling design.  Although the statistical design and study boundaries were not the same as that employed for the program covered by this QAPP, the PSAMP-NOAA sample data can be associated with amount of area represented under the new definitions of the Puget Sound population, regions and strata (Long </w:t>
      </w:r>
      <w:r>
        <w:rPr>
          <w:i/>
        </w:rPr>
        <w:t>et al.</w:t>
      </w:r>
      <w:r>
        <w:t>, 200</w:t>
      </w:r>
      <w:r w:rsidR="00E96246">
        <w:t>5</w:t>
      </w:r>
      <w:r>
        <w:t>).  Thus, it is possible, by weighting the data appropriately, to combine the PSAMP-NOAA data and revised PSAMP Sediment Component data to form a baseline for the entire Sound.</w:t>
      </w:r>
    </w:p>
    <w:p w:rsidR="001713FD" w:rsidRDefault="001713FD" w:rsidP="00ED0DD8">
      <w:pPr>
        <w:pStyle w:val="Heading3"/>
        <w:keepNext w:val="0"/>
        <w:widowControl w:val="0"/>
        <w:spacing w:before="120" w:after="240"/>
      </w:pPr>
      <w:bookmarkStart w:id="15" w:name="_Toc28002162"/>
      <w:bookmarkStart w:id="16" w:name="_Toc28002699"/>
      <w:bookmarkStart w:id="17" w:name="_Toc28004042"/>
      <w:bookmarkStart w:id="18" w:name="_Toc415289707"/>
      <w:r>
        <w:t>Precision, Bias, and Accuracy</w:t>
      </w:r>
      <w:bookmarkEnd w:id="15"/>
      <w:bookmarkEnd w:id="16"/>
      <w:bookmarkEnd w:id="17"/>
    </w:p>
    <w:p w:rsidR="001713FD" w:rsidRDefault="001713FD" w:rsidP="00ED0DD8">
      <w:pPr>
        <w:widowControl w:val="0"/>
        <w:spacing w:before="120" w:after="240"/>
      </w:pPr>
      <w:r>
        <w:t xml:space="preserve">The use of random starting points and the reverse-hierarchical algorithm to select sample sites </w:t>
      </w:r>
      <w:r>
        <w:lastRenderedPageBreak/>
        <w:t>(as opposed to selection of sample sites to achieve diversity of habitats and communities, as was the case in the original PSAMP design), ensures lack of bias in the sample selection.  This monitoring program specifies a minimum of 30 replicates for estimation of population characteristics, in order to achieve desirable levels of precision (random error) and statistical power, both of which are affected by sample size.  The term accuracy, as used in Lombard and Kirchmer (200</w:t>
      </w:r>
      <w:r w:rsidR="00183603">
        <w:t>4</w:t>
      </w:r>
      <w:r>
        <w:t>), represents the amount of total error, encompassing both bias and random error.</w:t>
      </w:r>
    </w:p>
    <w:p w:rsidR="001713FD" w:rsidRDefault="001713FD" w:rsidP="00ED0DD8">
      <w:pPr>
        <w:pStyle w:val="Heading3"/>
        <w:keepNext w:val="0"/>
        <w:widowControl w:val="0"/>
        <w:spacing w:before="120" w:after="240"/>
      </w:pPr>
      <w:bookmarkStart w:id="19" w:name="_Toc28002163"/>
      <w:bookmarkStart w:id="20" w:name="_Toc28002700"/>
      <w:bookmarkStart w:id="21" w:name="_Toc28004043"/>
      <w:r>
        <w:t>Comparability</w:t>
      </w:r>
      <w:bookmarkEnd w:id="18"/>
      <w:bookmarkEnd w:id="19"/>
      <w:bookmarkEnd w:id="20"/>
      <w:bookmarkEnd w:id="21"/>
    </w:p>
    <w:p w:rsidR="00ED0DD8" w:rsidRDefault="001713FD" w:rsidP="00706194">
      <w:pPr>
        <w:widowControl w:val="0"/>
        <w:spacing w:before="120" w:after="240"/>
        <w:rPr>
          <w:noProof/>
        </w:rPr>
      </w:pPr>
      <w:r>
        <w:rPr>
          <w:noProof/>
        </w:rPr>
        <w:t>Since the sample sites have been randomly selected according to the inclusion probabilities for the homogeneous multi-density categories, and since the monitoring program has been designed to achieve a sample size of at least 30 for each region and each stratum over the course of one rotation throughout the population, parameters (</w:t>
      </w:r>
      <w:r>
        <w:rPr>
          <w:i/>
          <w:noProof/>
        </w:rPr>
        <w:t>e.g.</w:t>
      </w:r>
      <w:r>
        <w:rPr>
          <w:noProof/>
        </w:rPr>
        <w:t xml:space="preserve">, proportion of area classified as having degraded sediment quality) can be compared among regions and among strata.  Temporal comparisons within the population or subpopulations are also possible (and planned) over 10-year cycles, since the sampling design included oversampling for future years.  Finally, it will be possible to make comparisons of </w:t>
      </w:r>
      <w:smartTag w:uri="urn:schemas-microsoft-com:office:smarttags" w:element="place">
        <w:r>
          <w:rPr>
            <w:noProof/>
          </w:rPr>
          <w:t>Puget Sound</w:t>
        </w:r>
      </w:smartTag>
      <w:r>
        <w:rPr>
          <w:noProof/>
        </w:rPr>
        <w:t xml:space="preserve"> and other estuaries which have been studied with similar sampling designs and protocols.</w:t>
      </w:r>
    </w:p>
    <w:p w:rsidR="00AB23D3" w:rsidRPr="003A7FD0" w:rsidRDefault="00AB23D3" w:rsidP="00706194">
      <w:pPr>
        <w:widowControl w:val="0"/>
        <w:spacing w:before="120" w:after="240"/>
        <w:rPr>
          <w:rFonts w:ascii="Arial" w:hAnsi="Arial"/>
          <w:b/>
          <w:color w:val="800080"/>
          <w:sz w:val="32"/>
        </w:rPr>
      </w:pPr>
      <w:r w:rsidRPr="003A7FD0">
        <w:rPr>
          <w:rFonts w:ascii="Arial" w:hAnsi="Arial"/>
          <w:b/>
          <w:color w:val="800080"/>
          <w:sz w:val="32"/>
        </w:rPr>
        <w:t>References</w:t>
      </w:r>
    </w:p>
    <w:p w:rsidR="00183603" w:rsidRPr="006827C8" w:rsidRDefault="00183603" w:rsidP="00183603">
      <w:pPr>
        <w:spacing w:before="120" w:after="240"/>
      </w:pPr>
      <w:r w:rsidRPr="006827C8">
        <w:t xml:space="preserve">Lombard, S. and C. Kirchmer, 2004.  Guidelines for Preparing Quality Assurance Project Plans for Environmental Studies. Washington State Department of Ecology, Olympia, WA.  Publication No. 04-03-030. </w:t>
      </w:r>
      <w:hyperlink r:id="rId7" w:history="1">
        <w:r w:rsidRPr="006827C8">
          <w:rPr>
            <w:rStyle w:val="Hyperlink"/>
          </w:rPr>
          <w:t>www.ecy.wa.gov/biblio/0403030.html</w:t>
        </w:r>
      </w:hyperlink>
      <w:r w:rsidRPr="006827C8">
        <w:t>.</w:t>
      </w:r>
    </w:p>
    <w:p w:rsidR="00E96246" w:rsidRPr="006827C8" w:rsidRDefault="00AB23D3" w:rsidP="00E96246">
      <w:pPr>
        <w:spacing w:before="120" w:after="240"/>
        <w:rPr>
          <w:color w:val="00B0F0"/>
          <w:u w:val="single"/>
        </w:rPr>
      </w:pPr>
      <w:r>
        <w:t>L</w:t>
      </w:r>
      <w:r w:rsidR="00E96246">
        <w:t xml:space="preserve">ong, E.R., </w:t>
      </w:r>
      <w:r w:rsidR="00E96246" w:rsidRPr="006827C8">
        <w:t xml:space="preserve">M. Dutch, S. Aasen, K. Welch and M.J. Hameedi. 2005. Spatial extent of degraded sediment quality in Puget Sound (Washington State, U.S.A.) based upon measures of the sediment quality triad. Environmental Monitoring and Assessment 111: 173-222. To order a copy of this article contact </w:t>
      </w:r>
      <w:hyperlink r:id="rId8" w:history="1">
        <w:r w:rsidR="00E96246" w:rsidRPr="006827C8">
          <w:rPr>
            <w:rStyle w:val="Hyperlink"/>
          </w:rPr>
          <w:t>http://springerlink.metapress.com</w:t>
        </w:r>
      </w:hyperlink>
    </w:p>
    <w:p w:rsidR="00E96246" w:rsidRPr="006827C8" w:rsidRDefault="00E96246" w:rsidP="00E96246">
      <w:pPr>
        <w:spacing w:before="120" w:after="240"/>
      </w:pPr>
      <w:r w:rsidRPr="006827C8">
        <w:t>Stevens, D.L., Jr. 1997.  Variable density grid-based sampling designs for continuous spatial populations. Environmetrics, 8, 167-95.</w:t>
      </w:r>
    </w:p>
    <w:p w:rsidR="00E96246" w:rsidRPr="006827C8" w:rsidRDefault="00E96246" w:rsidP="00E96246">
      <w:pPr>
        <w:spacing w:before="120" w:after="240"/>
      </w:pPr>
      <w:r>
        <w:t xml:space="preserve">------ </w:t>
      </w:r>
      <w:r w:rsidRPr="006827C8">
        <w:t>and Olsen, A.R. 1999.  Spatially restricted surveys over time for aquatic resources. Journal of Agricultural, Biological, and Environmental Statistics, 4, 415-28.</w:t>
      </w:r>
    </w:p>
    <w:p w:rsidR="00E96246" w:rsidRPr="006827C8" w:rsidRDefault="00E96246" w:rsidP="00E96246">
      <w:pPr>
        <w:spacing w:before="120" w:after="240"/>
      </w:pPr>
      <w:r>
        <w:t xml:space="preserve">------. </w:t>
      </w:r>
      <w:r w:rsidRPr="006827C8">
        <w:t>2003.  Variance estimation for spatially balanced samples of environmental resources. Environmetrics 14:593-610.</w:t>
      </w:r>
    </w:p>
    <w:p w:rsidR="00E96246" w:rsidRPr="006827C8" w:rsidRDefault="00E96246" w:rsidP="00E96246">
      <w:pPr>
        <w:spacing w:before="120" w:after="240"/>
      </w:pPr>
      <w:r>
        <w:t xml:space="preserve">------. </w:t>
      </w:r>
      <w:r w:rsidRPr="006827C8">
        <w:rPr>
          <w:color w:val="000000"/>
          <w:szCs w:val="24"/>
        </w:rPr>
        <w:t>2004. Spatially balanced sampling of natural resources.</w:t>
      </w:r>
      <w:r w:rsidRPr="006827C8">
        <w:rPr>
          <w:bCs/>
          <w:szCs w:val="24"/>
        </w:rPr>
        <w:t xml:space="preserve"> Journal of the American Statistical Association 99:262-278.</w:t>
      </w:r>
    </w:p>
    <w:p w:rsidR="00AB23D3" w:rsidRPr="00AB23D3" w:rsidRDefault="00AB23D3" w:rsidP="00E96246">
      <w:pPr>
        <w:widowControl w:val="0"/>
        <w:spacing w:before="120" w:after="240"/>
        <w:rPr>
          <w:rFonts w:ascii="Arial" w:hAnsi="Arial"/>
          <w:color w:val="0000FF"/>
          <w:sz w:val="28"/>
        </w:rPr>
      </w:pPr>
    </w:p>
    <w:sectPr w:rsidR="00AB23D3" w:rsidRPr="00AB23D3" w:rsidSect="005C490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EC4" w:rsidRDefault="00687EC4" w:rsidP="001713FD">
      <w:r>
        <w:separator/>
      </w:r>
    </w:p>
  </w:endnote>
  <w:endnote w:type="continuationSeparator" w:id="0">
    <w:p w:rsidR="00687EC4" w:rsidRDefault="00687EC4" w:rsidP="001713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26157"/>
      <w:docPartObj>
        <w:docPartGallery w:val="Page Numbers (Bottom of Page)"/>
        <w:docPartUnique/>
      </w:docPartObj>
    </w:sdtPr>
    <w:sdtContent>
      <w:p w:rsidR="001713FD" w:rsidRDefault="00F0231F">
        <w:pPr>
          <w:pStyle w:val="Footer"/>
          <w:jc w:val="right"/>
        </w:pPr>
        <w:fldSimple w:instr=" PAGE   \* MERGEFORMAT ">
          <w:r w:rsidR="003A7FD0">
            <w:rPr>
              <w:noProof/>
            </w:rPr>
            <w:t>4</w:t>
          </w:r>
        </w:fldSimple>
      </w:p>
    </w:sdtContent>
  </w:sdt>
  <w:p w:rsidR="001713FD" w:rsidRDefault="001713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EC4" w:rsidRDefault="00687EC4" w:rsidP="001713FD">
      <w:r>
        <w:separator/>
      </w:r>
    </w:p>
  </w:footnote>
  <w:footnote w:type="continuationSeparator" w:id="0">
    <w:p w:rsidR="00687EC4" w:rsidRDefault="00687EC4" w:rsidP="001713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713FD"/>
    <w:rsid w:val="000F1FF7"/>
    <w:rsid w:val="00122380"/>
    <w:rsid w:val="001713FD"/>
    <w:rsid w:val="00183603"/>
    <w:rsid w:val="00203EF5"/>
    <w:rsid w:val="002A0820"/>
    <w:rsid w:val="003A7FD0"/>
    <w:rsid w:val="004A55E9"/>
    <w:rsid w:val="00554302"/>
    <w:rsid w:val="005817E3"/>
    <w:rsid w:val="00590623"/>
    <w:rsid w:val="005C490F"/>
    <w:rsid w:val="00663C24"/>
    <w:rsid w:val="00687EC4"/>
    <w:rsid w:val="006E09CD"/>
    <w:rsid w:val="00706194"/>
    <w:rsid w:val="007D1A49"/>
    <w:rsid w:val="00895D7D"/>
    <w:rsid w:val="00897562"/>
    <w:rsid w:val="008C4C38"/>
    <w:rsid w:val="00AB23D3"/>
    <w:rsid w:val="00B42420"/>
    <w:rsid w:val="00B76047"/>
    <w:rsid w:val="00B9222D"/>
    <w:rsid w:val="00BE2D34"/>
    <w:rsid w:val="00BE4B76"/>
    <w:rsid w:val="00C10C91"/>
    <w:rsid w:val="00C63835"/>
    <w:rsid w:val="00C72E61"/>
    <w:rsid w:val="00C81F17"/>
    <w:rsid w:val="00C97FCD"/>
    <w:rsid w:val="00D06F12"/>
    <w:rsid w:val="00DB1FC6"/>
    <w:rsid w:val="00E07960"/>
    <w:rsid w:val="00E232B8"/>
    <w:rsid w:val="00E7084E"/>
    <w:rsid w:val="00E96246"/>
    <w:rsid w:val="00EB0E2D"/>
    <w:rsid w:val="00ED0DD8"/>
    <w:rsid w:val="00F0231F"/>
    <w:rsid w:val="00F36D42"/>
    <w:rsid w:val="00F3702D"/>
    <w:rsid w:val="00F80246"/>
    <w:rsid w:val="00F94EFD"/>
    <w:rsid w:val="00F957A6"/>
    <w:rsid w:val="00FF7A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3F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ED0DD8"/>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1713FD"/>
    <w:pPr>
      <w:keepNext/>
      <w:outlineLvl w:val="2"/>
    </w:pPr>
    <w:rPr>
      <w:rFonts w:ascii="Arial" w:hAnsi="Arial"/>
      <w:color w:val="0000F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713FD"/>
    <w:rPr>
      <w:rFonts w:ascii="Arial" w:eastAsia="Times New Roman" w:hAnsi="Arial" w:cs="Times New Roman"/>
      <w:color w:val="0000FF"/>
      <w:sz w:val="28"/>
      <w:szCs w:val="20"/>
    </w:rPr>
  </w:style>
  <w:style w:type="paragraph" w:styleId="Header">
    <w:name w:val="header"/>
    <w:basedOn w:val="Normal"/>
    <w:link w:val="HeaderChar"/>
    <w:uiPriority w:val="99"/>
    <w:semiHidden/>
    <w:unhideWhenUsed/>
    <w:rsid w:val="001713FD"/>
    <w:pPr>
      <w:tabs>
        <w:tab w:val="center" w:pos="4680"/>
        <w:tab w:val="right" w:pos="9360"/>
      </w:tabs>
    </w:pPr>
  </w:style>
  <w:style w:type="character" w:customStyle="1" w:styleId="HeaderChar">
    <w:name w:val="Header Char"/>
    <w:basedOn w:val="DefaultParagraphFont"/>
    <w:link w:val="Header"/>
    <w:uiPriority w:val="99"/>
    <w:semiHidden/>
    <w:rsid w:val="001713FD"/>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1713FD"/>
    <w:pPr>
      <w:tabs>
        <w:tab w:val="center" w:pos="4680"/>
        <w:tab w:val="right" w:pos="9360"/>
      </w:tabs>
    </w:pPr>
  </w:style>
  <w:style w:type="character" w:customStyle="1" w:styleId="FooterChar">
    <w:name w:val="Footer Char"/>
    <w:basedOn w:val="DefaultParagraphFont"/>
    <w:link w:val="Footer"/>
    <w:uiPriority w:val="99"/>
    <w:rsid w:val="001713FD"/>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1713FD"/>
    <w:rPr>
      <w:sz w:val="16"/>
      <w:szCs w:val="16"/>
    </w:rPr>
  </w:style>
  <w:style w:type="paragraph" w:styleId="CommentText">
    <w:name w:val="annotation text"/>
    <w:basedOn w:val="Normal"/>
    <w:link w:val="CommentTextChar"/>
    <w:uiPriority w:val="99"/>
    <w:semiHidden/>
    <w:unhideWhenUsed/>
    <w:rsid w:val="001713FD"/>
    <w:rPr>
      <w:sz w:val="20"/>
    </w:rPr>
  </w:style>
  <w:style w:type="character" w:customStyle="1" w:styleId="CommentTextChar">
    <w:name w:val="Comment Text Char"/>
    <w:basedOn w:val="DefaultParagraphFont"/>
    <w:link w:val="CommentText"/>
    <w:uiPriority w:val="99"/>
    <w:semiHidden/>
    <w:rsid w:val="001713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713FD"/>
    <w:rPr>
      <w:b/>
      <w:bCs/>
    </w:rPr>
  </w:style>
  <w:style w:type="character" w:customStyle="1" w:styleId="CommentSubjectChar">
    <w:name w:val="Comment Subject Char"/>
    <w:basedOn w:val="CommentTextChar"/>
    <w:link w:val="CommentSubject"/>
    <w:uiPriority w:val="99"/>
    <w:semiHidden/>
    <w:rsid w:val="001713FD"/>
    <w:rPr>
      <w:b/>
      <w:bCs/>
    </w:rPr>
  </w:style>
  <w:style w:type="paragraph" w:styleId="BalloonText">
    <w:name w:val="Balloon Text"/>
    <w:basedOn w:val="Normal"/>
    <w:link w:val="BalloonTextChar"/>
    <w:uiPriority w:val="99"/>
    <w:semiHidden/>
    <w:unhideWhenUsed/>
    <w:rsid w:val="001713FD"/>
    <w:rPr>
      <w:rFonts w:ascii="Tahoma" w:hAnsi="Tahoma" w:cs="Tahoma"/>
      <w:sz w:val="16"/>
      <w:szCs w:val="16"/>
    </w:rPr>
  </w:style>
  <w:style w:type="character" w:customStyle="1" w:styleId="BalloonTextChar">
    <w:name w:val="Balloon Text Char"/>
    <w:basedOn w:val="DefaultParagraphFont"/>
    <w:link w:val="BalloonText"/>
    <w:uiPriority w:val="99"/>
    <w:semiHidden/>
    <w:rsid w:val="001713FD"/>
    <w:rPr>
      <w:rFonts w:ascii="Tahoma" w:eastAsia="Times New Roman" w:hAnsi="Tahoma" w:cs="Tahoma"/>
      <w:sz w:val="16"/>
      <w:szCs w:val="16"/>
    </w:rPr>
  </w:style>
  <w:style w:type="character" w:customStyle="1" w:styleId="Heading1Char">
    <w:name w:val="Heading 1 Char"/>
    <w:basedOn w:val="DefaultParagraphFont"/>
    <w:link w:val="Heading1"/>
    <w:rsid w:val="00ED0DD8"/>
    <w:rPr>
      <w:rFonts w:ascii="Arial" w:eastAsia="Times New Roman" w:hAnsi="Arial" w:cs="Arial"/>
      <w:b/>
      <w:bCs/>
      <w:kern w:val="32"/>
      <w:sz w:val="32"/>
      <w:szCs w:val="32"/>
    </w:rPr>
  </w:style>
  <w:style w:type="character" w:styleId="Hyperlink">
    <w:name w:val="Hyperlink"/>
    <w:basedOn w:val="DefaultParagraphFont"/>
    <w:uiPriority w:val="99"/>
    <w:rsid w:val="00183603"/>
    <w:rPr>
      <w:color w:val="0000FF"/>
      <w:u w:val="single"/>
    </w:rPr>
  </w:style>
</w:styles>
</file>

<file path=word/webSettings.xml><?xml version="1.0" encoding="utf-8"?>
<w:webSettings xmlns:r="http://schemas.openxmlformats.org/officeDocument/2006/relationships" xmlns:w="http://schemas.openxmlformats.org/wordprocessingml/2006/main">
  <w:divs>
    <w:div w:id="1700088661">
      <w:bodyDiv w:val="1"/>
      <w:marLeft w:val="0"/>
      <w:marRight w:val="0"/>
      <w:marTop w:val="0"/>
      <w:marBottom w:val="0"/>
      <w:divBdr>
        <w:top w:val="none" w:sz="0" w:space="0" w:color="auto"/>
        <w:left w:val="none" w:sz="0" w:space="0" w:color="auto"/>
        <w:bottom w:val="none" w:sz="0" w:space="0" w:color="auto"/>
        <w:right w:val="none" w:sz="0" w:space="0" w:color="auto"/>
      </w:divBdr>
      <w:divsChild>
        <w:div w:id="4328268">
          <w:marLeft w:val="0"/>
          <w:marRight w:val="0"/>
          <w:marTop w:val="0"/>
          <w:marBottom w:val="0"/>
          <w:divBdr>
            <w:top w:val="none" w:sz="0" w:space="0" w:color="auto"/>
            <w:left w:val="none" w:sz="0" w:space="0" w:color="auto"/>
            <w:bottom w:val="none" w:sz="0" w:space="0" w:color="auto"/>
            <w:right w:val="none" w:sz="0" w:space="0" w:color="auto"/>
          </w:divBdr>
          <w:divsChild>
            <w:div w:id="4306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ingerlink.metapress.com/home/main.mpx" TargetMode="External"/><Relationship Id="rId3" Type="http://schemas.openxmlformats.org/officeDocument/2006/relationships/webSettings" Target="webSettings.xml"/><Relationship Id="rId7" Type="http://schemas.openxmlformats.org/officeDocument/2006/relationships/hyperlink" Target="http://www.ecy.wa.gov/biblio/0403030.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pa.gov/nheerl/ar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4</Pages>
  <Words>1695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WA Department of Ecology</Company>
  <LinksUpToDate>false</LinksUpToDate>
  <CharactersWithSpaces>11335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 Dutch</dc:creator>
  <cp:keywords/>
  <dc:description/>
  <cp:lastModifiedBy>Maggie Dutch</cp:lastModifiedBy>
  <cp:revision>15</cp:revision>
  <dcterms:created xsi:type="dcterms:W3CDTF">2009-03-12T17:36:00Z</dcterms:created>
  <dcterms:modified xsi:type="dcterms:W3CDTF">2009-07-15T22:27:00Z</dcterms:modified>
</cp:coreProperties>
</file>